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4"/>
        <w:gridCol w:w="2807"/>
        <w:gridCol w:w="3274"/>
      </w:tblGrid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F45EE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F45EE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F45EE">
            <w:pPr>
              <w:spacing w:after="60" w:line="276" w:lineRule="auto"/>
              <w:ind w:firstLine="0"/>
              <w:jc w:val="center"/>
            </w:pPr>
            <w:r>
              <w:t>Приложение</w:t>
            </w:r>
          </w:p>
        </w:tc>
      </w:tr>
      <w:tr w:rsidR="00000000"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F45EE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F45EE">
            <w:pPr>
              <w:spacing w:after="60" w:line="276" w:lineRule="auto"/>
              <w:ind w:firstLine="0"/>
              <w:jc w:val="center"/>
            </w:pPr>
            <w:r>
              <w:t> </w:t>
            </w:r>
          </w:p>
        </w:tc>
        <w:tc>
          <w:tcPr>
            <w:tcW w:w="175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0000" w:rsidRDefault="00FF45EE">
            <w:pPr>
              <w:spacing w:after="60" w:line="276" w:lineRule="auto"/>
              <w:ind w:firstLine="0"/>
              <w:jc w:val="center"/>
            </w:pPr>
            <w:r>
              <w:rPr>
                <w:i/>
                <w:iCs/>
                <w:color w:val="006600"/>
              </w:rPr>
              <w:t xml:space="preserve">(к </w:t>
            </w:r>
            <w:hyperlink r:id="rId4" w:history="1">
              <w:r>
                <w:rPr>
                  <w:rStyle w:val="a3"/>
                  <w:i/>
                  <w:iCs/>
                  <w:color w:val="000000"/>
                  <w:u w:val="none"/>
                </w:rPr>
                <w:t>постановлению</w:t>
              </w:r>
            </w:hyperlink>
            <w:r>
              <w:rPr>
                <w:i/>
                <w:iCs/>
                <w:color w:val="006600"/>
              </w:rPr>
              <w:t xml:space="preserve"> Правительства Кыргызской Республики</w:t>
            </w:r>
            <w:r>
              <w:rPr>
                <w:i/>
                <w:iCs/>
                <w:color w:val="006600"/>
              </w:rPr>
              <w:br/>
              <w:t>от 29 марта 2019 года № 142)</w:t>
            </w:r>
          </w:p>
        </w:tc>
      </w:tr>
    </w:tbl>
    <w:p w:rsidR="00000000" w:rsidRDefault="00FF45EE">
      <w:pPr>
        <w:spacing w:before="400" w:after="400" w:line="276" w:lineRule="auto"/>
        <w:ind w:left="1134" w:right="1134" w:firstLine="0"/>
        <w:jc w:val="center"/>
        <w:rPr>
          <w:lang w:val="ru-RU"/>
        </w:rPr>
      </w:pPr>
      <w:bookmarkStart w:id="0" w:name="_GoBack"/>
      <w:r>
        <w:rPr>
          <w:b/>
          <w:bCs/>
          <w:lang w:val="ru-RU"/>
        </w:rPr>
        <w:t>ПОЛОЖЕНИЕ</w:t>
      </w:r>
      <w:r>
        <w:rPr>
          <w:b/>
          <w:bCs/>
          <w:lang w:val="ru-RU"/>
        </w:rPr>
        <w:br/>
        <w:t>о порядке проведения аукционов на право заключения договора аренды муниципального имущества в электронном формате</w:t>
      </w:r>
    </w:p>
    <w:p w:rsidR="00000000" w:rsidRDefault="00FF45EE">
      <w:pPr>
        <w:spacing w:before="200" w:after="200" w:line="276" w:lineRule="auto"/>
        <w:ind w:left="1134" w:right="1134" w:firstLine="0"/>
        <w:jc w:val="center"/>
        <w:rPr>
          <w:lang w:val="ru-RU"/>
        </w:rPr>
      </w:pPr>
      <w:bookmarkStart w:id="1" w:name="r1"/>
      <w:bookmarkEnd w:id="1"/>
      <w:bookmarkEnd w:id="0"/>
      <w:r>
        <w:rPr>
          <w:b/>
          <w:bCs/>
          <w:lang w:val="ru-RU"/>
        </w:rPr>
        <w:t>1. Общие положения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1. Настоящее Положение определяет порядок организации и проведения аукционов на право заключения договора аренды муниципального имущества в электронном формате.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2. Понятия, используемые в настоящем Положении: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аренда муниципального имущества</w:t>
      </w:r>
      <w:r>
        <w:rPr>
          <w:lang w:val="ru-RU"/>
        </w:rPr>
        <w:t xml:space="preserve"> - предоставление муниципального имущества за плату во временное владение и пользование или во временное пользование;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арендодатель</w:t>
      </w:r>
      <w:r>
        <w:rPr>
          <w:lang w:val="ru-RU"/>
        </w:rPr>
        <w:t xml:space="preserve"> - исполнительный орган местного самоуправления, муниципальное учреждение, муниципальное предпр</w:t>
      </w:r>
      <w:r>
        <w:rPr>
          <w:lang w:val="ru-RU"/>
        </w:rPr>
        <w:t>иятие, предоставившее муниципальное имущество в аренду;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арендатор</w:t>
      </w:r>
      <w:r>
        <w:rPr>
          <w:lang w:val="ru-RU"/>
        </w:rPr>
        <w:t xml:space="preserve"> - физические и юридические лица, в том числе иностранные, которым в установленном настоящим Положением порядке предоставляется право временного владения и пользования или временного пользова</w:t>
      </w:r>
      <w:r>
        <w:rPr>
          <w:lang w:val="ru-RU"/>
        </w:rPr>
        <w:t>ния муниципальным имуществом;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электронный аукцион</w:t>
      </w:r>
      <w:r>
        <w:rPr>
          <w:lang w:val="ru-RU"/>
        </w:rPr>
        <w:t xml:space="preserve"> - вид торгов на право заключения договора аренды муниципального имущества, в которых победителем становится участник, предложивший наивысшую цену;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личный кабинет</w:t>
      </w:r>
      <w:r>
        <w:rPr>
          <w:lang w:val="ru-RU"/>
        </w:rPr>
        <w:t xml:space="preserve"> - автоматизированное рабочее место пользоват</w:t>
      </w:r>
      <w:r>
        <w:rPr>
          <w:lang w:val="ru-RU"/>
        </w:rPr>
        <w:t>еля на электронной торговой площадке;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муниципальное имущество</w:t>
      </w:r>
      <w:r>
        <w:rPr>
          <w:lang w:val="ru-RU"/>
        </w:rPr>
        <w:t xml:space="preserve"> - имущество, находящееся в муниципальной собственности в соответствии с пунктом 2 </w:t>
      </w:r>
      <w:hyperlink r:id="rId5" w:anchor="st_3" w:history="1">
        <w:r>
          <w:rPr>
            <w:rStyle w:val="a3"/>
            <w:color w:val="auto"/>
            <w:u w:val="none"/>
            <w:lang w:val="ru-RU"/>
          </w:rPr>
          <w:t>статьи 3</w:t>
        </w:r>
      </w:hyperlink>
      <w:r>
        <w:rPr>
          <w:lang w:val="ru-RU"/>
        </w:rPr>
        <w:t xml:space="preserve"> </w:t>
      </w:r>
      <w:hyperlink r:id="rId6" w:history="1">
        <w:r>
          <w:rPr>
            <w:rStyle w:val="a3"/>
            <w:color w:val="000000"/>
            <w:u w:val="none"/>
            <w:lang w:val="ru-RU"/>
          </w:rPr>
          <w:t>Закона</w:t>
        </w:r>
      </w:hyperlink>
      <w:r>
        <w:rPr>
          <w:lang w:val="ru-RU"/>
        </w:rPr>
        <w:t xml:space="preserve"> Кыргызской Республики "О мун</w:t>
      </w:r>
      <w:r>
        <w:rPr>
          <w:lang w:val="ru-RU"/>
        </w:rPr>
        <w:t>иципальной собственности на имущество";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закрытая часть электронной торговой площадки</w:t>
      </w:r>
      <w:r>
        <w:rPr>
          <w:lang w:val="ru-RU"/>
        </w:rPr>
        <w:t xml:space="preserve"> - часть сайта, доступная только зарегистрированным пользователям электронной торговой площадки;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объект аренды</w:t>
      </w:r>
      <w:r>
        <w:rPr>
          <w:lang w:val="ru-RU"/>
        </w:rPr>
        <w:t xml:space="preserve"> - муниципальное имущество, в отношении которого проводится эл</w:t>
      </w:r>
      <w:r>
        <w:rPr>
          <w:lang w:val="ru-RU"/>
        </w:rPr>
        <w:t>ектронный аукцион на право заключения договора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оператор электронной торговой площадки</w:t>
      </w:r>
      <w:r>
        <w:rPr>
          <w:lang w:val="ru-RU"/>
        </w:rPr>
        <w:t xml:space="preserve"> - владелец информационной системы, действующий на основании договора с органом местного самоуправления </w:t>
      </w:r>
      <w:r>
        <w:rPr>
          <w:lang w:val="ru-RU"/>
        </w:rPr>
        <w:lastRenderedPageBreak/>
        <w:t>и владеющий порталом электронной торговой площадки в сети И</w:t>
      </w:r>
      <w:r>
        <w:rPr>
          <w:lang w:val="ru-RU"/>
        </w:rPr>
        <w:t>нтернет, на котором проводятся электронные торги;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претендент</w:t>
      </w:r>
      <w:r>
        <w:rPr>
          <w:lang w:val="ru-RU"/>
        </w:rPr>
        <w:t xml:space="preserve"> - лицо, подавшее заявку на участие в торгах в электронном формате на право заключения договора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стартовая цена аренды</w:t>
      </w:r>
      <w:r>
        <w:rPr>
          <w:lang w:val="ru-RU"/>
        </w:rPr>
        <w:t xml:space="preserve"> - начальный размер ежемесячной арендной платы за пользование муниципал</w:t>
      </w:r>
      <w:r>
        <w:rPr>
          <w:lang w:val="ru-RU"/>
        </w:rPr>
        <w:t>ьным имуществом, с которого начинается электронный аукцион на право заключения договора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участник</w:t>
      </w:r>
      <w:r>
        <w:rPr>
          <w:lang w:val="ru-RU"/>
        </w:rPr>
        <w:t xml:space="preserve"> - претендент, допущенный к участию в торгах;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электронная торговая площадка</w:t>
      </w:r>
      <w:r>
        <w:rPr>
          <w:lang w:val="ru-RU"/>
        </w:rPr>
        <w:t xml:space="preserve"> - информационная система, размещенная в сети Интернет для организации и пров</w:t>
      </w:r>
      <w:r>
        <w:rPr>
          <w:lang w:val="ru-RU"/>
        </w:rPr>
        <w:t>едения торгов и позволяющая зарегистрированным участникам дистанционно (без личного присутствия) осуществлять электронные операции по сделкам;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электронная подпись (ЭП)</w:t>
      </w:r>
      <w:r>
        <w:rPr>
          <w:lang w:val="ru-RU"/>
        </w:rPr>
        <w:t xml:space="preserve"> - информация в электронной форме, присоединенная к другой информации в электронной форме</w:t>
      </w:r>
      <w:r>
        <w:rPr>
          <w:lang w:val="ru-RU"/>
        </w:rPr>
        <w:t xml:space="preserve"> и (или) логически связанная с ней, используемая для определения лица, от имени которого подписана информация;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b/>
          <w:bCs/>
          <w:lang w:val="ru-RU"/>
        </w:rPr>
        <w:t>электронный документ</w:t>
      </w:r>
      <w:r>
        <w:rPr>
          <w:lang w:val="ru-RU"/>
        </w:rPr>
        <w:t xml:space="preserve"> - документированная информация, представленная в электронной форме, то есть в виде, пригодном для восприятия человеком, с ис</w:t>
      </w:r>
      <w:r>
        <w:rPr>
          <w:lang w:val="ru-RU"/>
        </w:rPr>
        <w:t>пользованием электронных вычислительных машин.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3. Документооборот между претендентами (либо лицами, имеющими право действовать от его имени), участниками (либо лицами, имеющими право действовать от его имени), оператором электронной торговой площадки и аре</w:t>
      </w:r>
      <w:r>
        <w:rPr>
          <w:lang w:val="ru-RU"/>
        </w:rPr>
        <w:t>ндодателем осуществляется через электронную торговую площадку в форме электронных документов либо электронных образцов документов (документов на бумажном носителе, преобразованных в электронно-цифровую форму путем сканирования, с сохранением их реквизитов)</w:t>
      </w:r>
      <w:r>
        <w:rPr>
          <w:lang w:val="ru-RU"/>
        </w:rPr>
        <w:t>. Данное правило не применяется для договора аренды муниципального имущества, который заключается сторонами в простой письменной форме.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4. Электронные документы, связанные с организацией и проведением электронного аукциона на право заключения договора арен</w:t>
      </w:r>
      <w:r>
        <w:rPr>
          <w:lang w:val="ru-RU"/>
        </w:rPr>
        <w:t>ды муниципального имущества, в том числе полученные от арендодателя, претендентов и участников, хранятся оператором электронной торговой площадки.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5. Заключение договора аренды муниципального имущества осуществляется по результатам проведенного электронног</w:t>
      </w:r>
      <w:r>
        <w:rPr>
          <w:lang w:val="ru-RU"/>
        </w:rPr>
        <w:t>о аукциона на электронной торговой площадке в течение 7 календарных дней с даты определения победителя электронного аукциона.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6. Условия сдачи муниципального имущества, права, обязанности арендодателя и арендатора, ответственность сторон и другие условия а</w:t>
      </w:r>
      <w:r>
        <w:rPr>
          <w:lang w:val="ru-RU"/>
        </w:rPr>
        <w:t>ренды устанавливаются договором аренды муниципального имущества.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7. Арендатор арендует муниципальное имущество с момента вступления в силу договора аренды. Договор аренды вступает в силу с момента, указанного в договоре, либо в случаях, предусмотренных зак</w:t>
      </w:r>
      <w:r>
        <w:rPr>
          <w:lang w:val="ru-RU"/>
        </w:rPr>
        <w:t>онодательством, с момента государственной регистрации в соответствующем государственном органе.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lastRenderedPageBreak/>
        <w:t>8. Арендодателю, оператору электронной торговой площадки запрещается выступать в качестве арендаторов муниципального имущества.</w:t>
      </w:r>
    </w:p>
    <w:p w:rsidR="00000000" w:rsidRDefault="00FF45EE">
      <w:pPr>
        <w:spacing w:before="200" w:after="200" w:line="276" w:lineRule="auto"/>
        <w:ind w:left="1134" w:right="1134" w:firstLine="0"/>
        <w:jc w:val="center"/>
        <w:rPr>
          <w:lang w:val="ru-RU"/>
        </w:rPr>
      </w:pPr>
      <w:bookmarkStart w:id="2" w:name="r2"/>
      <w:bookmarkEnd w:id="2"/>
      <w:r>
        <w:rPr>
          <w:b/>
          <w:bCs/>
          <w:lang w:val="ru-RU"/>
        </w:rPr>
        <w:t>2. Права, обязанности и ответств</w:t>
      </w:r>
      <w:r>
        <w:rPr>
          <w:b/>
          <w:bCs/>
          <w:lang w:val="ru-RU"/>
        </w:rPr>
        <w:t>енность участников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9. Арендодатель для проведения электронного аукциона на электронной торговой площадке на право заключения договора аренды муниципального имущества заполняет форму и размещает заявку (с подписью руководителя арендодателя) в электронном фо</w:t>
      </w:r>
      <w:r>
        <w:rPr>
          <w:lang w:val="ru-RU"/>
        </w:rPr>
        <w:t>рмате на электронной торговой площадке через его "личный кабинет", с приложением: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расчета стартового размера арендной платы и срок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копий технического паспорта или иной технической документации на сдаваемое муниципальное имущество (схема, план),</w:t>
      </w:r>
      <w:r>
        <w:rPr>
          <w:lang w:val="ru-RU"/>
        </w:rPr>
        <w:t xml:space="preserve"> заверенных печатью арендодателя;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проекта договора об аренде муниципального имущества.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 xml:space="preserve">10. Форма документов, а также проекты типовых договоров об аренде муниципального имущества утверждаются приказом уполномоченного </w:t>
      </w:r>
      <w:r>
        <w:rPr>
          <w:lang w:val="ru-RU"/>
        </w:rPr>
        <w:t>государственного органа в сфере местного самоуправления.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11. Информационным сообщением о проведении электронного аукциона на право заключения договора аренды муниципального имущества является объявленное арендодателем проведение электронного аукциона на эл</w:t>
      </w:r>
      <w:r>
        <w:rPr>
          <w:lang w:val="ru-RU"/>
        </w:rPr>
        <w:t>ектронной торговой площадке через его "личный кабинет".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12. В случае, если арендодателем является муниципальное учреждение или предприятие, то сдача муниципального имущества в аренду осуществляется по согласованию с соответствующим исполнительным органом м</w:t>
      </w:r>
      <w:r>
        <w:rPr>
          <w:lang w:val="ru-RU"/>
        </w:rPr>
        <w:t>естного самоуправления.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Сроки согласования или отказ в согласовании сдачи муниципального имущества в аренду осуществляется в течение 30 дней. В случае отказа исполнительного органа местного самоуправления муниципальное имущество остается в пользовании арен</w:t>
      </w:r>
      <w:r>
        <w:rPr>
          <w:lang w:val="ru-RU"/>
        </w:rPr>
        <w:t>додателя.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13. Арендодатель по требованию претендентов на участие в торгах должен обеспечить доступ к объекту аренды с целью осмотра его технического состояния. При этом, по запросу претендента, арендодатель обязан предоставить для ознакомления правоустанав</w:t>
      </w:r>
      <w:r>
        <w:rPr>
          <w:lang w:val="ru-RU"/>
        </w:rPr>
        <w:t>ливающие документы и материалы фотосъемки.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14. К торгам допускаются лица, прошедшие регистрацию на электронной торговой площадке до проведения торгов. Регистрация осуществляется: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для физических лиц - с использованием электронной подписи или ID-карты, с н</w:t>
      </w:r>
      <w:r>
        <w:rPr>
          <w:lang w:val="ru-RU"/>
        </w:rPr>
        <w:t>аличием электронного чипа (e-ID) или с подтверждением ПИН-кода, высылаемого на регистрируемый номер телефона претендента;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для юридических лиц - с использованием электронной подписи. В случае отсутствия электронной подписи согласно применяемым формам иден</w:t>
      </w:r>
      <w:r>
        <w:rPr>
          <w:lang w:val="ru-RU"/>
        </w:rPr>
        <w:t xml:space="preserve">тификации для физических лиц, с приложением сканированных свидетельства о государственной регистрации/перерегистрации юридического лица и приказа о назначении руководителя или сканированной доверенности, оформленной в </w:t>
      </w:r>
      <w:r>
        <w:rPr>
          <w:lang w:val="ru-RU"/>
        </w:rPr>
        <w:lastRenderedPageBreak/>
        <w:t>соответствии с законодательством, на л</w:t>
      </w:r>
      <w:r>
        <w:rPr>
          <w:lang w:val="ru-RU"/>
        </w:rPr>
        <w:t>ицо, осуществляющее регистрацию по идентификационным данным физического лица.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15. Оператор электронной торговой площадки обеспечивает: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возможность регистрации участников электронного аукциона на электронной торговой площадке;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подачу участниками электро</w:t>
      </w:r>
      <w:r>
        <w:rPr>
          <w:lang w:val="ru-RU"/>
        </w:rPr>
        <w:t>нного аукциона заявок при условии заполнения ими всех полей, а также прекращение подачи заявок по истечении срока их приема, указанного в информационном сообщении о проведении электронного аукциона на право заключения договора аренды муниципального имущест</w:t>
      </w:r>
      <w:r>
        <w:rPr>
          <w:lang w:val="ru-RU"/>
        </w:rPr>
        <w:t>ва в электронном формате;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равный доступ участников к процедуре предоставления муниципального имущества в аренду;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конфиденциальность данных о претендентах и участниках электронного аукциона.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16. Проведение электронного аукциона на право заключения догов</w:t>
      </w:r>
      <w:r>
        <w:rPr>
          <w:lang w:val="ru-RU"/>
        </w:rPr>
        <w:t>ора аренды муниципального имущества может быть приостановлено оператором электронной торговой площадки в случае технического сбоя, зафиксированного программно-аппаратными средствами электронной торговой площадки, но не более чем на одни сутки. Возобновлени</w:t>
      </w:r>
      <w:r>
        <w:rPr>
          <w:lang w:val="ru-RU"/>
        </w:rPr>
        <w:t>е проведения электронного аукциона начинается с того момента, с которого он был приостановлен.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В течение одного часа со времени приостановления проведения электронного аукциона оператор электронной торговой площадки размещает на электронной торговой площад</w:t>
      </w:r>
      <w:r>
        <w:rPr>
          <w:lang w:val="ru-RU"/>
        </w:rPr>
        <w:t>ке информацию о причине приостановления электронного аукциона на право заключения договора аренды муниципального имущества, времени приостановления и возобновления электронного аукциона, уведомляет об этом всех участников.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17. Арендодатель не несет ответст</w:t>
      </w:r>
      <w:r>
        <w:rPr>
          <w:lang w:val="ru-RU"/>
        </w:rPr>
        <w:t>венности за сбои в подключении к сети Интернет со стороны претендентов и участников электронного аукциона, а также за сбои в системе, связанные с подачей электричества и форс-мажорными обстоятельствами, т.е. обстоятельствами непреодолимой силы (наводнение,</w:t>
      </w:r>
      <w:r>
        <w:rPr>
          <w:lang w:val="ru-RU"/>
        </w:rPr>
        <w:t xml:space="preserve"> пожар, землетрясение, взрыв, эпидемии или иные природные бедствия, война, ведение военных действий, введение чрезвычайного или военного положения).</w:t>
      </w:r>
    </w:p>
    <w:p w:rsidR="00000000" w:rsidRDefault="00FF45EE">
      <w:pPr>
        <w:spacing w:before="200" w:after="200" w:line="276" w:lineRule="auto"/>
        <w:ind w:left="1134" w:right="1134" w:firstLine="0"/>
        <w:jc w:val="center"/>
        <w:rPr>
          <w:lang w:val="ru-RU"/>
        </w:rPr>
      </w:pPr>
      <w:bookmarkStart w:id="3" w:name="r3"/>
      <w:bookmarkEnd w:id="3"/>
      <w:r>
        <w:rPr>
          <w:b/>
          <w:bCs/>
          <w:lang w:val="ru-RU"/>
        </w:rPr>
        <w:t xml:space="preserve">3. Порядок проведения электронного аукциона на право заключения договора аренды муниципального имущества в </w:t>
      </w:r>
      <w:r>
        <w:rPr>
          <w:b/>
          <w:bCs/>
          <w:lang w:val="ru-RU"/>
        </w:rPr>
        <w:t>электронном формате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18. Торги проводятся в форме электронного аукциона на повышение стоимости аренды.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19. Стартовая цена и размер шага аукциона от стартовой цены определяются арендодателем и указываются в информационном сообщении арендодателя.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20. Информац</w:t>
      </w:r>
      <w:r>
        <w:rPr>
          <w:lang w:val="ru-RU"/>
        </w:rPr>
        <w:t>ионное сообщение в обязательном порядке должно в себе содержать следующие сведения: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наименование арендодателя;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lastRenderedPageBreak/>
        <w:t>- наименование, местонахождение и назначение объекта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площадь и техническое состояние объекта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дата, время приема и окончания</w:t>
      </w:r>
      <w:r>
        <w:rPr>
          <w:lang w:val="ru-RU"/>
        </w:rPr>
        <w:t xml:space="preserve"> приема заявок для участия в электронном аукционе на электронной торговой площадке;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стартовая цена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сумма и сроки внесения гарантийного взноса и залогового обеспечения, а также реквизиты счета, на который он должен быть перечислен;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срок аренды;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другая информация (по усмотрению арендодателя).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21. Результаты торгов оформляются протоколом, генерируемым автоматически системой по окончании аукциона.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22. Торги признаются несостоявшимися в случаях: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 xml:space="preserve">- отсутствия заявок/участников торгов </w:t>
      </w:r>
      <w:r>
        <w:rPr>
          <w:lang w:val="ru-RU"/>
        </w:rPr>
        <w:t>(аукцион);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- признания только одного претендента участником.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23. При отсутствии заявок/участников аукциона, а также при участии в аукционе только одного претендента объект аренды снимается с торгов и выставляется вновь по истечении 30 (тридцать) дней после</w:t>
      </w:r>
      <w:r>
        <w:rPr>
          <w:lang w:val="ru-RU"/>
        </w:rPr>
        <w:t xml:space="preserve"> даты признания аукциона несостоявшимся.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В случае двукратного признания аукциона несостоявшимся по причине отсутствия заявок, начальная цена снижается на сумму, установленную решением соответствующей комиссией (комиссия по муниципальному имуществу, комисси</w:t>
      </w:r>
      <w:r>
        <w:rPr>
          <w:lang w:val="ru-RU"/>
        </w:rPr>
        <w:t>я по предоставлению прав на земельные участки) исполнительного органа местного самоуправления, или объект аренды снимается с торгов.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24. Для участия в электронном аукционе претендент должен внести гарантийный взнос в размере 100 процентов от объявленного с</w:t>
      </w:r>
      <w:r>
        <w:rPr>
          <w:lang w:val="ru-RU"/>
        </w:rPr>
        <w:t>тартового размера аренды на счет, указанный в информационном сообщении.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Если торги не состоялись, гарантийный взнос подлежит возврату. Гарантийный взнос возвращается также лицам, которые участвовали в торгах, но не выиграли их. Решение о признании электрон</w:t>
      </w:r>
      <w:r>
        <w:rPr>
          <w:lang w:val="ru-RU"/>
        </w:rPr>
        <w:t>ного аукциона несостоявшимся оформляется протоколом об итогах электронного аукциона.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25. Претендент вправе не позднее дня окончания приема заявок отозвать заявку в "личном кабинете" электронной торговой площадки.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В случае отзыва претендентом заявки в поряд</w:t>
      </w:r>
      <w:r>
        <w:rPr>
          <w:lang w:val="ru-RU"/>
        </w:rPr>
        <w:t>ке, установленном настоящим Положением, уведомление об отзыве заявки (вместе с заявкой) в течение одного часа поступает в "личный кабинет" соответствующего арендодателя, о чем претенденту направляется соответствующее уведомление.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Поступивший от претендента</w:t>
      </w:r>
      <w:r>
        <w:rPr>
          <w:lang w:val="ru-RU"/>
        </w:rPr>
        <w:t xml:space="preserve"> гарантийный взнос подлежит возврату в течение десяти банковских дней со дня поступления уведомления об отзыве заявки.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26. Гарантийный взнос возвращается всем претендентам и участникам электронного аукциона, за исключением победителя, в течение десяти банк</w:t>
      </w:r>
      <w:r>
        <w:rPr>
          <w:lang w:val="ru-RU"/>
        </w:rPr>
        <w:t>овских дней с момента подписания протокола об итогах электронного аукциона.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lastRenderedPageBreak/>
        <w:t>Победителю электронного аукциона гарантийный взнос засчитывается в счет оплаты арендной платы. В случае отказа от подписания протокола об итогах электронных торгов или заключения д</w:t>
      </w:r>
      <w:r>
        <w:rPr>
          <w:lang w:val="ru-RU"/>
        </w:rPr>
        <w:t>оговора аренды гарантийный взнос победителю электронного аукциона не возвращается.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Арендодатель по итогам проведенного аукциона заключает с победителем договор аренды, который составляется на основе типового договора, утвержденного органом местного самоупр</w:t>
      </w:r>
      <w:r>
        <w:rPr>
          <w:lang w:val="ru-RU"/>
        </w:rPr>
        <w:t>авления.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27. В случае возникновения необходимости использования муниципального имущества, в отношении которого арендодателем объявлен электронный аукцион на право заключения договора аренды, арендодатель вправе отозвать свое заявление о проведении электрон</w:t>
      </w:r>
      <w:r>
        <w:rPr>
          <w:lang w:val="ru-RU"/>
        </w:rPr>
        <w:t>ного аукциона на электронной торговой площадке, не позднее чем за 1 рабочий день до начала торгов. При отказе арендодателем от проведения электронного аукциона внесенные претендентами гарантийные взносы подлежат возврату в течение десяти банковских дней.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</w:t>
      </w:r>
      <w:r>
        <w:rPr>
          <w:lang w:val="ru-RU"/>
        </w:rPr>
        <w:t>8. Процедура проведения электронного аукциона проводится в день и время, указанные в информационном сообщении о проведении электронного аукциона.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29. Во время процедуры проведения электронного аукциона обеспечивается доступ участников к закрытой части элек</w:t>
      </w:r>
      <w:r>
        <w:rPr>
          <w:lang w:val="ru-RU"/>
        </w:rPr>
        <w:t>тронной торговой площадки и возможность представления ими предложений о цене аренды объекта, выставленного на электронный аукцион.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30. Победителем признается участник, предложивший наиболее высокую цену за объект аренды.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31. Ход проведения электронного аук</w:t>
      </w:r>
      <w:r>
        <w:rPr>
          <w:lang w:val="ru-RU"/>
        </w:rPr>
        <w:t>циона фиксируется в электронном журнале электронной торговой площадки.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32. Процедура электронного аукциона считается завершенной со времени формирования электронного протокола об итогах электронного аукциона.</w:t>
      </w:r>
    </w:p>
    <w:p w:rsidR="00000000" w:rsidRDefault="00FF45EE">
      <w:pPr>
        <w:spacing w:after="60" w:line="276" w:lineRule="auto"/>
        <w:ind w:firstLine="567"/>
        <w:rPr>
          <w:lang w:val="ru-RU"/>
        </w:rPr>
      </w:pPr>
      <w:r>
        <w:rPr>
          <w:lang w:val="ru-RU"/>
        </w:rPr>
        <w:t>33. Время создания, получения и отправки электр</w:t>
      </w:r>
      <w:r>
        <w:rPr>
          <w:lang w:val="ru-RU"/>
        </w:rPr>
        <w:t>онных документов на электронной торговой площадке, а также время проведения процедуры аренды муниципального имущества соответствуют местному времени.</w:t>
      </w:r>
    </w:p>
    <w:p w:rsidR="00FF45EE" w:rsidRDefault="00FF45EE">
      <w:pPr>
        <w:rPr>
          <w:lang w:val="ru-RU"/>
        </w:rPr>
      </w:pPr>
      <w:r>
        <w:rPr>
          <w:lang w:val="ru-RU"/>
        </w:rPr>
        <w:t> </w:t>
      </w:r>
    </w:p>
    <w:sectPr w:rsidR="00FF45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0B3EA4"/>
    <w:rsid w:val="000B3EA4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26AB3B-E9CF-4441-8204-47C50212E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0" w:line="240" w:lineRule="auto"/>
      <w:ind w:firstLine="397"/>
      <w:jc w:val="both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keepNext/>
      <w:spacing w:before="480" w:after="0"/>
      <w:ind w:firstLine="0"/>
      <w:jc w:val="center"/>
      <w:outlineLvl w:val="0"/>
    </w:pPr>
    <w:rPr>
      <w:rFonts w:ascii="Times New Roman" w:hAnsi="Times New Roman" w:cs="Times New Roman"/>
      <w:b/>
      <w:bCs/>
      <w:kern w:val="36"/>
      <w:sz w:val="20"/>
      <w:szCs w:val="20"/>
    </w:rPr>
  </w:style>
  <w:style w:type="paragraph" w:styleId="2">
    <w:name w:val="heading 2"/>
    <w:basedOn w:val="a"/>
    <w:link w:val="20"/>
    <w:uiPriority w:val="9"/>
    <w:qFormat/>
    <w:pPr>
      <w:keepNext/>
      <w:spacing w:before="200" w:after="0"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link w:val="30"/>
    <w:uiPriority w:val="9"/>
    <w:qFormat/>
    <w:pPr>
      <w:keepNext/>
      <w:spacing w:before="200"/>
      <w:jc w:val="left"/>
      <w:outlineLvl w:val="2"/>
    </w:pPr>
    <w:rPr>
      <w:rFonts w:ascii="Times New Roman" w:hAnsi="Times New Roman" w:cs="Times New Roman"/>
      <w:b/>
      <w:bCs/>
      <w:sz w:val="20"/>
      <w:szCs w:val="20"/>
    </w:rPr>
  </w:style>
  <w:style w:type="paragraph" w:styleId="4">
    <w:name w:val="heading 4"/>
    <w:basedOn w:val="a"/>
    <w:link w:val="40"/>
    <w:uiPriority w:val="9"/>
    <w:qFormat/>
    <w:pPr>
      <w:keepNext/>
      <w:spacing w:before="200" w:after="0"/>
      <w:jc w:val="left"/>
      <w:outlineLvl w:val="3"/>
    </w:pPr>
    <w:rPr>
      <w:rFonts w:ascii="Times New Roman" w:hAnsi="Times New Roman" w:cs="Times New Roman"/>
      <w:b/>
      <w:bCs/>
      <w:i/>
      <w:iCs/>
      <w:sz w:val="20"/>
      <w:szCs w:val="20"/>
    </w:rPr>
  </w:style>
  <w:style w:type="paragraph" w:styleId="5">
    <w:name w:val="heading 5"/>
    <w:basedOn w:val="a"/>
    <w:link w:val="50"/>
    <w:uiPriority w:val="9"/>
    <w:qFormat/>
    <w:pPr>
      <w:keepNext/>
      <w:spacing w:before="200" w:after="0"/>
      <w:outlineLvl w:val="4"/>
    </w:pPr>
    <w:rPr>
      <w:rFonts w:ascii="Times New Roman" w:hAnsi="Times New Roman" w:cs="Times New Roman"/>
      <w:color w:val="243F60"/>
      <w:sz w:val="20"/>
      <w:szCs w:val="20"/>
    </w:rPr>
  </w:style>
  <w:style w:type="paragraph" w:styleId="6">
    <w:name w:val="heading 6"/>
    <w:basedOn w:val="a"/>
    <w:link w:val="60"/>
    <w:uiPriority w:val="9"/>
    <w:qFormat/>
    <w:pPr>
      <w:keepNext/>
      <w:spacing w:before="200" w:after="0"/>
      <w:outlineLvl w:val="5"/>
    </w:pPr>
    <w:rPr>
      <w:rFonts w:ascii="Times New Roman" w:hAnsi="Times New Roman" w:cs="Times New Roman"/>
      <w:i/>
      <w:iCs/>
      <w:color w:val="243F60"/>
      <w:sz w:val="20"/>
      <w:szCs w:val="20"/>
    </w:rPr>
  </w:style>
  <w:style w:type="paragraph" w:styleId="7">
    <w:name w:val="heading 7"/>
    <w:basedOn w:val="a"/>
    <w:link w:val="70"/>
    <w:uiPriority w:val="9"/>
    <w:qFormat/>
    <w:pPr>
      <w:keepNext/>
      <w:spacing w:before="200" w:after="0"/>
      <w:outlineLvl w:val="6"/>
    </w:pPr>
    <w:rPr>
      <w:rFonts w:ascii="Times New Roman" w:hAnsi="Times New Roman" w:cs="Times New Roman"/>
      <w:i/>
      <w:iCs/>
      <w:color w:val="404040"/>
      <w:sz w:val="20"/>
      <w:szCs w:val="20"/>
    </w:rPr>
  </w:style>
  <w:style w:type="paragraph" w:styleId="8">
    <w:name w:val="heading 8"/>
    <w:basedOn w:val="a"/>
    <w:link w:val="80"/>
    <w:uiPriority w:val="9"/>
    <w:qFormat/>
    <w:pPr>
      <w:keepNext/>
      <w:spacing w:before="200" w:after="0"/>
      <w:outlineLvl w:val="7"/>
    </w:pPr>
    <w:rPr>
      <w:rFonts w:ascii="Times New Roman" w:hAnsi="Times New Roman" w:cs="Times New Roman"/>
      <w:color w:val="4F81BD"/>
      <w:sz w:val="20"/>
      <w:szCs w:val="20"/>
    </w:rPr>
  </w:style>
  <w:style w:type="paragraph" w:styleId="9">
    <w:name w:val="heading 9"/>
    <w:basedOn w:val="a"/>
    <w:link w:val="90"/>
    <w:uiPriority w:val="9"/>
    <w:qFormat/>
    <w:pPr>
      <w:keepNext/>
      <w:spacing w:before="200" w:after="0"/>
      <w:outlineLvl w:val="8"/>
    </w:pPr>
    <w:rPr>
      <w:rFonts w:ascii="Times New Roman" w:hAnsi="Times New Roman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 w:hint="default"/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Times New Roman" w:hAnsi="Times New Roman" w:cs="Times New Roman" w:hint="default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Times New Roman" w:hAnsi="Times New Roman" w:cs="Times New Roman" w:hint="default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Times New Roman" w:hAnsi="Times New Roman" w:cs="Times New Roman" w:hint="default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="Times New Roman" w:hAnsi="Times New Roman" w:cs="Times New Roman" w:hint="default"/>
      <w:i/>
      <w:iCs/>
      <w:color w:val="243F60"/>
    </w:rPr>
  </w:style>
  <w:style w:type="paragraph" w:customStyle="1" w:styleId="msonormal0">
    <w:name w:val="msonormal"/>
    <w:basedOn w:val="a"/>
    <w:pPr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70">
    <w:name w:val="Заголовок 7 Знак"/>
    <w:basedOn w:val="a0"/>
    <w:link w:val="7"/>
    <w:uiPriority w:val="9"/>
    <w:semiHidden/>
    <w:rPr>
      <w:rFonts w:ascii="Times New Roman" w:hAnsi="Times New Roman" w:cs="Times New Roman" w:hint="default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"/>
    <w:semiHidden/>
    <w:rPr>
      <w:rFonts w:ascii="Times New Roman" w:hAnsi="Times New Roman" w:cs="Times New Roman" w:hint="default"/>
      <w:color w:val="4F81BD"/>
    </w:rPr>
  </w:style>
  <w:style w:type="character" w:customStyle="1" w:styleId="90">
    <w:name w:val="Заголовок 9 Знак"/>
    <w:basedOn w:val="a0"/>
    <w:link w:val="9"/>
    <w:uiPriority w:val="9"/>
    <w:semiHidden/>
    <w:rPr>
      <w:rFonts w:ascii="Times New Roman" w:hAnsi="Times New Roman" w:cs="Times New Roman" w:hint="default"/>
      <w:i/>
      <w:iCs/>
      <w:color w:val="404040"/>
    </w:rPr>
  </w:style>
  <w:style w:type="paragraph" w:styleId="a5">
    <w:name w:val="Normal Indent"/>
    <w:basedOn w:val="a"/>
    <w:uiPriority w:val="99"/>
    <w:semiHidden/>
    <w:unhideWhenUsed/>
    <w:pPr>
      <w:ind w:left="708"/>
    </w:pPr>
  </w:style>
  <w:style w:type="paragraph" w:styleId="a6">
    <w:name w:val="annotation text"/>
    <w:basedOn w:val="a"/>
    <w:link w:val="a7"/>
    <w:uiPriority w:val="99"/>
    <w:semiHidden/>
    <w:unhideWhenUsed/>
    <w:pPr>
      <w:spacing w:before="120" w:after="240"/>
      <w:ind w:firstLine="0"/>
      <w:jc w:val="left"/>
    </w:pPr>
    <w:rPr>
      <w:i/>
      <w:iCs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rFonts w:ascii="Times New Roman" w:hAnsi="Times New Roman" w:cs="Times New Roman" w:hint="default"/>
      <w:i/>
      <w:iCs/>
    </w:rPr>
  </w:style>
  <w:style w:type="paragraph" w:styleId="a8">
    <w:name w:val="caption"/>
    <w:basedOn w:val="a"/>
    <w:uiPriority w:val="35"/>
    <w:qFormat/>
    <w:rPr>
      <w:b/>
      <w:bCs/>
      <w:color w:val="4F81BD"/>
      <w:sz w:val="18"/>
      <w:szCs w:val="18"/>
    </w:rPr>
  </w:style>
  <w:style w:type="paragraph" w:styleId="a9">
    <w:name w:val="Title"/>
    <w:basedOn w:val="a"/>
    <w:link w:val="aa"/>
    <w:uiPriority w:val="10"/>
    <w:qFormat/>
    <w:pPr>
      <w:spacing w:after="480"/>
      <w:ind w:firstLine="0"/>
      <w:jc w:val="center"/>
    </w:pPr>
    <w:rPr>
      <w:b/>
      <w:bCs/>
      <w:spacing w:val="5"/>
      <w:sz w:val="28"/>
      <w:szCs w:val="28"/>
    </w:rPr>
  </w:style>
  <w:style w:type="character" w:customStyle="1" w:styleId="aa">
    <w:name w:val="Заголовок Знак"/>
    <w:basedOn w:val="a0"/>
    <w:link w:val="a9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b">
    <w:name w:val="Signature"/>
    <w:basedOn w:val="a"/>
    <w:link w:val="ac"/>
    <w:uiPriority w:val="99"/>
    <w:semiHidden/>
    <w:unhideWhenUsed/>
    <w:pPr>
      <w:spacing w:after="0"/>
      <w:ind w:firstLine="0"/>
      <w:jc w:val="left"/>
    </w:pPr>
    <w:rPr>
      <w:b/>
      <w:bCs/>
    </w:rPr>
  </w:style>
  <w:style w:type="character" w:customStyle="1" w:styleId="ac">
    <w:name w:val="Подпись Знак"/>
    <w:basedOn w:val="a0"/>
    <w:link w:val="ab"/>
    <w:uiPriority w:val="99"/>
    <w:semiHidden/>
    <w:rPr>
      <w:rFonts w:ascii="Times New Roman" w:hAnsi="Times New Roman" w:cs="Times New Roman" w:hint="default"/>
      <w:b/>
      <w:bCs/>
    </w:rPr>
  </w:style>
  <w:style w:type="paragraph" w:styleId="ad">
    <w:name w:val="Message Header"/>
    <w:basedOn w:val="a"/>
    <w:link w:val="ae"/>
    <w:uiPriority w:val="99"/>
    <w:semiHidden/>
    <w:unhideWhenUsed/>
    <w:pPr>
      <w:spacing w:after="480"/>
      <w:ind w:firstLine="0"/>
      <w:jc w:val="center"/>
    </w:pPr>
    <w:rPr>
      <w:b/>
      <w:bCs/>
      <w:sz w:val="32"/>
      <w:szCs w:val="32"/>
    </w:rPr>
  </w:style>
  <w:style w:type="character" w:customStyle="1" w:styleId="ae">
    <w:name w:val="Шапка Знак"/>
    <w:basedOn w:val="a0"/>
    <w:link w:val="ad"/>
    <w:uiPriority w:val="99"/>
    <w:semiHidden/>
    <w:rPr>
      <w:rFonts w:ascii="Times New Roman" w:hAnsi="Times New Roman" w:cs="Times New Roman" w:hint="default"/>
      <w:b/>
      <w:bCs/>
    </w:rPr>
  </w:style>
  <w:style w:type="paragraph" w:styleId="af">
    <w:name w:val="Subtitle"/>
    <w:basedOn w:val="a"/>
    <w:link w:val="af0"/>
    <w:uiPriority w:val="11"/>
    <w:qFormat/>
    <w:pPr>
      <w:ind w:firstLine="454"/>
    </w:pPr>
    <w:rPr>
      <w:rFonts w:ascii="Times New Roman" w:hAnsi="Times New Roman" w:cs="Times New Roman"/>
      <w:i/>
      <w:iCs/>
      <w:color w:val="4F81BD"/>
      <w:spacing w:val="15"/>
      <w:sz w:val="20"/>
      <w:szCs w:val="20"/>
    </w:rPr>
  </w:style>
  <w:style w:type="character" w:customStyle="1" w:styleId="af0">
    <w:name w:val="Подзаголовок Знак"/>
    <w:basedOn w:val="a0"/>
    <w:link w:val="af"/>
    <w:uiPriority w:val="11"/>
    <w:rPr>
      <w:rFonts w:ascii="Times New Roman" w:hAnsi="Times New Roman" w:cs="Times New Roman" w:hint="default"/>
      <w:i/>
      <w:iCs/>
      <w:color w:val="4F81BD"/>
      <w:spacing w:val="15"/>
    </w:rPr>
  </w:style>
  <w:style w:type="paragraph" w:styleId="af1">
    <w:name w:val="Balloon Text"/>
    <w:basedOn w:val="a"/>
    <w:link w:val="af2"/>
    <w:uiPriority w:val="99"/>
    <w:semiHidden/>
    <w:unhideWhenUsed/>
    <w:pPr>
      <w:spacing w:after="0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Pr>
      <w:rFonts w:ascii="Tahoma" w:hAnsi="Tahoma" w:cs="Tahoma" w:hint="default"/>
    </w:rPr>
  </w:style>
  <w:style w:type="paragraph" w:styleId="af3">
    <w:name w:val="No Spacing"/>
    <w:basedOn w:val="a"/>
    <w:uiPriority w:val="1"/>
    <w:qFormat/>
    <w:pPr>
      <w:spacing w:after="0"/>
      <w:ind w:firstLine="0"/>
      <w:jc w:val="left"/>
    </w:pPr>
    <w:rPr>
      <w:sz w:val="22"/>
      <w:szCs w:val="22"/>
    </w:rPr>
  </w:style>
  <w:style w:type="paragraph" w:styleId="af4">
    <w:name w:val="List Paragraph"/>
    <w:basedOn w:val="a"/>
    <w:uiPriority w:val="34"/>
    <w:qFormat/>
    <w:pPr>
      <w:ind w:left="720"/>
    </w:pPr>
  </w:style>
  <w:style w:type="paragraph" w:styleId="21">
    <w:name w:val="Quote"/>
    <w:basedOn w:val="a"/>
    <w:link w:val="22"/>
    <w:uiPriority w:val="29"/>
    <w:qFormat/>
    <w:rPr>
      <w:rFonts w:ascii="Times New Roman" w:hAnsi="Times New Roman" w:cs="Times New Roman"/>
      <w:i/>
      <w:iCs/>
      <w:color w:val="000000"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hAnsi="Times New Roman" w:cs="Times New Roman" w:hint="default"/>
      <w:i/>
      <w:iCs/>
      <w:color w:val="000000"/>
    </w:rPr>
  </w:style>
  <w:style w:type="paragraph" w:styleId="af5">
    <w:name w:val="Intense Quote"/>
    <w:basedOn w:val="a"/>
    <w:link w:val="af6"/>
    <w:uiPriority w:val="30"/>
    <w:qFormat/>
    <w:pPr>
      <w:spacing w:before="200" w:after="280"/>
      <w:ind w:left="936" w:right="936"/>
    </w:pPr>
    <w:rPr>
      <w:rFonts w:ascii="Times New Roman" w:hAnsi="Times New Roman" w:cs="Times New Roman"/>
      <w:b/>
      <w:bCs/>
      <w:i/>
      <w:iCs/>
      <w:color w:val="4F81BD"/>
      <w:sz w:val="20"/>
      <w:szCs w:val="20"/>
    </w:rPr>
  </w:style>
  <w:style w:type="character" w:customStyle="1" w:styleId="af6">
    <w:name w:val="Выделенная цитата Знак"/>
    <w:basedOn w:val="a0"/>
    <w:link w:val="af5"/>
    <w:uiPriority w:val="30"/>
    <w:rPr>
      <w:rFonts w:ascii="Times New Roman" w:hAnsi="Times New Roman" w:cs="Times New Roman" w:hint="default"/>
      <w:b/>
      <w:bCs/>
      <w:i/>
      <w:iCs/>
      <w:color w:val="4F81BD"/>
    </w:rPr>
  </w:style>
  <w:style w:type="paragraph" w:styleId="af7">
    <w:name w:val="TOC Heading"/>
    <w:basedOn w:val="a"/>
    <w:uiPriority w:val="39"/>
    <w:qFormat/>
    <w:pPr>
      <w:keepNext/>
      <w:spacing w:before="480" w:after="0"/>
      <w:ind w:firstLine="0"/>
      <w:jc w:val="center"/>
    </w:pPr>
    <w:rPr>
      <w:b/>
      <w:bCs/>
      <w:sz w:val="28"/>
      <w:szCs w:val="28"/>
    </w:rPr>
  </w:style>
  <w:style w:type="paragraph" w:customStyle="1" w:styleId="af8">
    <w:name w:val="Реквизит"/>
    <w:basedOn w:val="a"/>
    <w:pPr>
      <w:spacing w:after="240"/>
      <w:ind w:firstLine="0"/>
      <w:jc w:val="left"/>
    </w:pPr>
  </w:style>
  <w:style w:type="paragraph" w:customStyle="1" w:styleId="af9">
    <w:name w:val="Редакции"/>
    <w:basedOn w:val="a"/>
    <w:pPr>
      <w:spacing w:after="240"/>
      <w:ind w:firstLine="0"/>
      <w:jc w:val="center"/>
    </w:pPr>
    <w:rPr>
      <w:i/>
      <w:iCs/>
    </w:rPr>
  </w:style>
  <w:style w:type="paragraph" w:customStyle="1" w:styleId="afa">
    <w:name w:val="Таблица"/>
    <w:basedOn w:val="a"/>
    <w:pPr>
      <w:ind w:firstLine="0"/>
    </w:pPr>
  </w:style>
  <w:style w:type="paragraph" w:customStyle="1" w:styleId="msochpdefault">
    <w:name w:val="msochpdefault"/>
    <w:basedOn w:val="a"/>
    <w:pPr>
      <w:spacing w:before="100" w:beforeAutospacing="1" w:after="100" w:afterAutospacing="1"/>
      <w:ind w:firstLine="0"/>
      <w:jc w:val="left"/>
    </w:pPr>
    <w:rPr>
      <w:sz w:val="20"/>
      <w:szCs w:val="20"/>
    </w:rPr>
  </w:style>
  <w:style w:type="paragraph" w:customStyle="1" w:styleId="msopapdefault">
    <w:name w:val="msopapdefault"/>
    <w:basedOn w:val="a"/>
    <w:pPr>
      <w:spacing w:before="100" w:beforeAutospacing="1" w:after="200" w:line="276" w:lineRule="auto"/>
      <w:ind w:firstLine="0"/>
      <w:jc w:val="left"/>
    </w:pPr>
    <w:rPr>
      <w:rFonts w:ascii="Times New Roman" w:hAnsi="Times New Roman" w:cs="Times New Roman"/>
    </w:rPr>
  </w:style>
  <w:style w:type="paragraph" w:customStyle="1" w:styleId="tkGrif">
    <w:name w:val="_Гриф (tkGrif)"/>
    <w:basedOn w:val="a"/>
    <w:pPr>
      <w:spacing w:after="60" w:line="276" w:lineRule="auto"/>
      <w:ind w:firstLine="0"/>
      <w:jc w:val="center"/>
    </w:pPr>
    <w:rPr>
      <w:sz w:val="20"/>
      <w:szCs w:val="20"/>
    </w:rPr>
  </w:style>
  <w:style w:type="paragraph" w:customStyle="1" w:styleId="tkZagolovok2">
    <w:name w:val="_Заголовок Раздел (tkZagolovok2)"/>
    <w:basedOn w:val="a"/>
    <w:pPr>
      <w:spacing w:before="200" w:after="200" w:line="276" w:lineRule="auto"/>
      <w:ind w:left="1134" w:right="1134" w:firstLine="0"/>
      <w:jc w:val="center"/>
    </w:pPr>
    <w:rPr>
      <w:b/>
      <w:bCs/>
    </w:rPr>
  </w:style>
  <w:style w:type="paragraph" w:customStyle="1" w:styleId="tkKomentarij">
    <w:name w:val="_Комментарий (tkKomentarij)"/>
    <w:basedOn w:val="a"/>
    <w:pPr>
      <w:spacing w:after="60" w:line="276" w:lineRule="auto"/>
      <w:ind w:firstLine="567"/>
    </w:pPr>
    <w:rPr>
      <w:i/>
      <w:iCs/>
      <w:color w:val="006600"/>
      <w:sz w:val="20"/>
      <w:szCs w:val="20"/>
    </w:rPr>
  </w:style>
  <w:style w:type="paragraph" w:customStyle="1" w:styleId="tkNazvanie">
    <w:name w:val="_Название (tkNazvanie)"/>
    <w:basedOn w:val="a"/>
    <w:pPr>
      <w:spacing w:before="400" w:after="400" w:line="276" w:lineRule="auto"/>
      <w:ind w:left="1134" w:right="1134" w:firstLine="0"/>
      <w:jc w:val="center"/>
    </w:pPr>
    <w:rPr>
      <w:b/>
      <w:bCs/>
    </w:rPr>
  </w:style>
  <w:style w:type="paragraph" w:customStyle="1" w:styleId="tkTekst">
    <w:name w:val="_Текст обычный (tkTekst)"/>
    <w:basedOn w:val="a"/>
    <w:pPr>
      <w:spacing w:after="60" w:line="276" w:lineRule="auto"/>
      <w:ind w:firstLine="567"/>
    </w:pPr>
    <w:rPr>
      <w:sz w:val="20"/>
      <w:szCs w:val="20"/>
    </w:rPr>
  </w:style>
  <w:style w:type="character" w:styleId="afb">
    <w:name w:val="Subtle Emphasis"/>
    <w:basedOn w:val="a0"/>
    <w:uiPriority w:val="19"/>
    <w:qFormat/>
    <w:rPr>
      <w:i/>
      <w:iCs/>
      <w:color w:val="808080"/>
    </w:rPr>
  </w:style>
  <w:style w:type="character" w:styleId="afc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fd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e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f">
    <w:name w:val="Book Title"/>
    <w:basedOn w:val="a0"/>
    <w:uiPriority w:val="33"/>
    <w:qFormat/>
    <w:rPr>
      <w:b/>
      <w:bCs/>
      <w:smallCaps/>
      <w:spacing w:val="5"/>
    </w:rPr>
  </w:style>
  <w:style w:type="paragraph" w:customStyle="1" w:styleId="aff0">
    <w:name w:val="Название"/>
    <w:basedOn w:val="a"/>
    <w:link w:val="aff1"/>
  </w:style>
  <w:style w:type="character" w:customStyle="1" w:styleId="aff1">
    <w:name w:val="Название Знак"/>
    <w:basedOn w:val="a0"/>
    <w:link w:val="aff0"/>
    <w:rPr>
      <w:rFonts w:ascii="Times New Roman" w:hAnsi="Times New Roman" w:cs="Times New Roman" w:hint="default"/>
      <w:b/>
      <w:b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db:992" TargetMode="External"/><Relationship Id="rId5" Type="http://schemas.openxmlformats.org/officeDocument/2006/relationships/hyperlink" Target="toktom://db/28137" TargetMode="External"/><Relationship Id="rId4" Type="http://schemas.openxmlformats.org/officeDocument/2006/relationships/hyperlink" Target="cdb:134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2111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2020-09-02T08:34:00Z</dcterms:created>
  <dcterms:modified xsi:type="dcterms:W3CDTF">2020-09-02T08:34:00Z</dcterms:modified>
</cp:coreProperties>
</file>